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2268"/>
        <w:gridCol w:w="2410"/>
        <w:gridCol w:w="2835"/>
      </w:tblGrid>
      <w:tr w:rsidR="00DB23D3" w:rsidRPr="00227F90" w:rsidTr="008208B0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226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5245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8208B0">
        <w:trPr>
          <w:gridBefore w:val="1"/>
          <w:wBefore w:w="34" w:type="dxa"/>
        </w:trPr>
        <w:tc>
          <w:tcPr>
            <w:tcW w:w="7054" w:type="dxa"/>
            <w:gridSpan w:val="4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8208B0" w:rsidRDefault="008208B0" w:rsidP="008208B0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208B0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Neu</w:t>
            </w:r>
            <w:r w:rsidRPr="008208B0">
              <w:rPr>
                <w:rFonts w:ascii="Times New Roman" w:hAnsi="Times New Roman" w:cs="Times New Roman"/>
                <w:bCs/>
                <w:sz w:val="16"/>
                <w:szCs w:val="16"/>
              </w:rPr>
              <w:t>trophil: lymphocyte ratio is positively associated with subclinical diabetic cardiomyopathy</w:t>
            </w:r>
          </w:p>
        </w:tc>
      </w:tr>
      <w:tr w:rsidR="00E840DC" w:rsidRPr="00227F90" w:rsidTr="008208B0">
        <w:trPr>
          <w:gridBefore w:val="1"/>
          <w:wBefore w:w="34" w:type="dxa"/>
        </w:trPr>
        <w:tc>
          <w:tcPr>
            <w:tcW w:w="4644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gridSpan w:val="2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75593C" w:rsidRPr="0075593C" w:rsidRDefault="0075593C" w:rsidP="008208B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</w:rPr>
              <w:t>Abstract section</w:t>
            </w:r>
          </w:p>
          <w:p w:rsidR="008208B0" w:rsidRPr="004F089C" w:rsidRDefault="008208B0" w:rsidP="008208B0">
            <w:pPr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Background: Subclinical diabetic cardiomyopathy (DCM) occurs frequently in asymptomatic subjects with Type 2 diabetes mellitus (T2DM). It is widely known that inflammation is related to T2DM, but few studies have shown a direct relationship between the immune system and DCM using reliable biomarkers. </w:t>
            </w:r>
          </w:p>
          <w:p w:rsidR="008208B0" w:rsidRPr="004F089C" w:rsidRDefault="008208B0" w:rsidP="008208B0">
            <w:pPr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Methods: 507 subjects with T2DM were recruited from April 2018 to October 2019. Myocardial function was evaluated with standard echocardiography, and ischemia was excluded by gated-myocardial perfusion imaging (including rest and stress). Adjusted logistic regression models were used to evaluate relationship between NLR and subclinical DCM (covariates: age, sex, BMI, duration of diabetes, and </w:t>
            </w:r>
            <w:proofErr w:type="spellStart"/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hyperlipidemia</w:t>
            </w:r>
            <w:proofErr w:type="spellEnd"/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). </w:t>
            </w:r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>F</w:t>
            </w:r>
            <w:r w:rsidRPr="004F089C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  <w:shd w:val="clear" w:color="auto" w:fill="FFFFFF"/>
              </w:rPr>
              <w:t>urthermore</w:t>
            </w:r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>, to determine time-dependent changes of NLR, blood samples were collected from T2DM mice in different age groups.</w:t>
            </w:r>
          </w:p>
          <w:p w:rsidR="008208B0" w:rsidRPr="004F089C" w:rsidRDefault="008208B0" w:rsidP="008208B0">
            <w:pPr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4F089C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R</w:t>
            </w:r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esults: The incidence of DCM was 8.88%. The adjusted odds ratio (95% CI) of the highest NLR quartile was 14.32 (2.92-70.31) compared to the lowest quartile of NLR after multiple adjusted. Neutrophil and lymphocyte counts </w:t>
            </w:r>
            <w:r w:rsidRPr="004F089C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did</w:t>
            </w:r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 not significantly relate to the incidence of DCM in T2DM patients. Moreover, NLR was upregulated in blood samples of T2DM mouse model and the upregulation preceded cardiac dysfunction.   </w:t>
            </w:r>
          </w:p>
          <w:p w:rsidR="00E840DC" w:rsidRPr="00227F90" w:rsidRDefault="008208B0" w:rsidP="008208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Conclusions: The present study demonstrated that NLR was related to the incidence and progression of subclinical DCM, </w:t>
            </w:r>
            <w:r w:rsidRPr="004F089C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suggesting</w:t>
            </w:r>
            <w:r w:rsidRPr="004F089C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 that NLR may be an efficient and accurate prognostic biomarker for DCM.</w:t>
            </w:r>
          </w:p>
        </w:tc>
      </w:tr>
      <w:tr w:rsidR="00214F3D" w:rsidRPr="00227F90" w:rsidTr="008208B0">
        <w:trPr>
          <w:gridBefore w:val="1"/>
          <w:wBefore w:w="34" w:type="dxa"/>
        </w:trPr>
        <w:tc>
          <w:tcPr>
            <w:tcW w:w="4644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5245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8208B0">
        <w:trPr>
          <w:gridBefore w:val="1"/>
          <w:wBefore w:w="34" w:type="dxa"/>
        </w:trPr>
        <w:tc>
          <w:tcPr>
            <w:tcW w:w="4644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75593C" w:rsidRPr="0075593C" w:rsidRDefault="0075593C" w:rsidP="008208B0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</w:rPr>
            </w:pPr>
            <w:r w:rsidRPr="0075593C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3"/>
                <w:szCs w:val="13"/>
              </w:rPr>
              <w:t>B</w:t>
            </w: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</w:rPr>
              <w:t>ackground, paragraph 2, limitation section</w:t>
            </w:r>
          </w:p>
          <w:p w:rsidR="00240246" w:rsidRPr="008208B0" w:rsidRDefault="008208B0" w:rsidP="008208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The main limitation of this study was a deficiency of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echoca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rdiographic data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for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 patients with DCM at different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s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tages. For asymptomatic DCM patients, it is necessary to have a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regular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 echocardiography to evaluate diastolic and systolic function. Echocardiography is the most common and widely used examination to evaluate cardiac structure and function, but its relatively high price and a certain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error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 measured by different doctors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ham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per its largescale application for early detection of asymptomatic DCM patients. Therefore, a mouse model of T2DM was utilized, and cardiac function at different stages was performed to compensate for this defect.</w:t>
            </w:r>
          </w:p>
        </w:tc>
      </w:tr>
      <w:tr w:rsidR="00240246" w:rsidRPr="00227F90" w:rsidTr="008208B0">
        <w:trPr>
          <w:gridBefore w:val="1"/>
          <w:wBefore w:w="34" w:type="dxa"/>
        </w:trPr>
        <w:tc>
          <w:tcPr>
            <w:tcW w:w="4644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75593C" w:rsidRPr="0075593C" w:rsidRDefault="0075593C" w:rsidP="008208B0">
            <w:pPr>
              <w:jc w:val="bot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75593C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Background, paragraph 3</w:t>
            </w:r>
          </w:p>
          <w:p w:rsidR="00240246" w:rsidRPr="008208B0" w:rsidRDefault="008208B0" w:rsidP="008208B0">
            <w:pPr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sz w:val="13"/>
                <w:szCs w:val="13"/>
              </w:rPr>
              <w:t xml:space="preserve">The present study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is aimed to explore the possible associations between subclinical DCM and NLR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>, and to evaluate the predictive power of NLR for DCM.</w:t>
            </w:r>
          </w:p>
        </w:tc>
      </w:tr>
      <w:tr w:rsidR="00214F3D" w:rsidRPr="00227F90" w:rsidTr="008208B0">
        <w:trPr>
          <w:gridBefore w:val="1"/>
          <w:wBefore w:w="34" w:type="dxa"/>
        </w:trPr>
        <w:tc>
          <w:tcPr>
            <w:tcW w:w="464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524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8208B0">
        <w:trPr>
          <w:gridBefore w:val="1"/>
          <w:wBefore w:w="34" w:type="dxa"/>
        </w:trPr>
        <w:tc>
          <w:tcPr>
            <w:tcW w:w="464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93C" w:rsidRPr="0075593C" w:rsidRDefault="0075593C" w:rsidP="008208B0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</w:pPr>
            <w:r w:rsidRPr="0075593C">
              <w:rPr>
                <w:rFonts w:ascii="Times New Roman" w:hAnsi="Times New Roman" w:cs="Times New Roman" w:hint="eastAsia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</w:t>
            </w: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eclarations: ethics approval and consent to participate</w:t>
            </w:r>
          </w:p>
          <w:p w:rsidR="00502FCD" w:rsidRPr="008208B0" w:rsidRDefault="008208B0" w:rsidP="008208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All animal experiments were performed according to the guidelines of National Institutes of Health (No. 85-23, revised 1996) and approved by the Committee on the Ethics of Animal Experiments of Soochow University.</w:t>
            </w:r>
          </w:p>
        </w:tc>
      </w:tr>
      <w:tr w:rsidR="00502FCD" w:rsidRPr="00227F90" w:rsidTr="008208B0">
        <w:trPr>
          <w:gridBefore w:val="1"/>
          <w:wBefore w:w="34" w:type="dxa"/>
        </w:trPr>
        <w:tc>
          <w:tcPr>
            <w:tcW w:w="464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93C" w:rsidRPr="0075593C" w:rsidRDefault="0075593C" w:rsidP="008208B0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Methods: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animal model</w:t>
            </w:r>
          </w:p>
          <w:p w:rsidR="00502FCD" w:rsidRPr="008208B0" w:rsidRDefault="008208B0" w:rsidP="008208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All the mice were anesthetized with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1.5–2% isoflurane and then echocardiography was performed </w:t>
            </w: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at 4 different time points (8, 12, 16, and 20 weeks of age, n = 5 each group)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.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Subsequently, all the mice were sacrificed by cervical dislocation.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</w:t>
            </w: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Immediately after excision, routine blood tests were performed.</w:t>
            </w:r>
          </w:p>
        </w:tc>
      </w:tr>
      <w:tr w:rsidR="00502FCD" w:rsidRPr="00227F90" w:rsidTr="008208B0">
        <w:trPr>
          <w:gridBefore w:val="1"/>
          <w:wBefore w:w="34" w:type="dxa"/>
          <w:trHeight w:val="704"/>
        </w:trPr>
        <w:tc>
          <w:tcPr>
            <w:tcW w:w="464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Methods: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animal model</w:t>
            </w:r>
          </w:p>
          <w:p w:rsidR="00502FCD" w:rsidRPr="008208B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All the mice were anesthetized with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1.5–2% isoflurane and then echocardiography was performed </w:t>
            </w: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at 4 different time points (8, 12, 16, and 20 weeks of age, n = 5 each group)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.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Subsequently, all the mice were sacrificed by cervical dislocation.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</w:t>
            </w: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Immediately after excision, routine blood tests were performed.</w:t>
            </w:r>
          </w:p>
        </w:tc>
      </w:tr>
      <w:tr w:rsidR="002D2B0E" w:rsidRPr="00227F90" w:rsidTr="008208B0">
        <w:trPr>
          <w:gridBefore w:val="1"/>
          <w:wBefore w:w="34" w:type="dxa"/>
          <w:trHeight w:val="1322"/>
        </w:trPr>
        <w:tc>
          <w:tcPr>
            <w:tcW w:w="464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8208B0" w:rsidRDefault="008208B0" w:rsidP="008208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Male 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/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mice and their non-diabetic littermates (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/+ mice) were used as models of T2DM and age-matched controls, respectively.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6204"/>
        <w:gridCol w:w="3657"/>
        <w:gridCol w:w="44"/>
      </w:tblGrid>
      <w:tr w:rsidR="002D2B0E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Methods: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animal model</w:t>
            </w:r>
          </w:p>
          <w:p w:rsidR="002D2B0E" w:rsidRPr="008208B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Mice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were purchased from Cavens Lab Animal (Changzhou, China) and raised in a specific pathogen-free (SPF) laboratory animal facility at Soochow University.</w:t>
            </w:r>
          </w:p>
        </w:tc>
      </w:tr>
      <w:tr w:rsidR="002D2B0E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93C" w:rsidRPr="0075593C" w:rsidRDefault="0075593C" w:rsidP="008208B0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Methods: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animal model</w:t>
            </w:r>
          </w:p>
          <w:p w:rsidR="002D2B0E" w:rsidRPr="008208B0" w:rsidRDefault="008208B0" w:rsidP="008208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Male 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/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mice and their non-diabetic littermates (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/+ mice) were used as models of T2DM and age-matched controls, respectively. Mice were divided into 8, 12, 16, and 20 weeks of age, n = 5 each group</w:t>
            </w:r>
          </w:p>
        </w:tc>
      </w:tr>
      <w:tr w:rsidR="002D2B0E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Methods: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animal model</w:t>
            </w:r>
          </w:p>
          <w:p w:rsidR="002D2B0E" w:rsidRPr="008208B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Male 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/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mice and their non-diabetic littermates (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/+ mice) were used as models of T2DM and age-matched controls, respectively.</w:t>
            </w:r>
          </w:p>
        </w:tc>
      </w:tr>
      <w:tr w:rsidR="00D7777A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Methods: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animal model</w:t>
            </w:r>
          </w:p>
          <w:p w:rsidR="00D7777A" w:rsidRPr="008208B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All the mice were anesthetized with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1.5–2% isoflurane and then echocardiography was performed </w:t>
            </w: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at 4 different time points (8, 12, 16, and 20 weeks of age, n = 5 each group)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.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Subsequently, all the mice were sacrificed by cervical dislocation.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</w:t>
            </w: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Immediately after excision, routine blood tests were performed and NLR was analy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2"/>
                <w:sz w:val="13"/>
                <w:szCs w:val="13"/>
                <w:shd w:val="clear" w:color="auto" w:fill="FCFCFC"/>
                <w:lang w:eastAsia="zh-CN"/>
              </w:rPr>
              <w:t>s</w:t>
            </w: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ed.</w:t>
            </w:r>
          </w:p>
        </w:tc>
      </w:tr>
      <w:tr w:rsidR="00D7777A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Methods: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statistical analysis</w:t>
            </w:r>
          </w:p>
          <w:p w:rsidR="00D7777A" w:rsidRPr="008208B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  <w:lang w:eastAsia="zh-CN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 xml:space="preserve">The differences among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  <w:shd w:val="clear" w:color="auto" w:fill="FFFFFF"/>
                <w:lang w:eastAsia="zh-CN"/>
              </w:rPr>
              <w:t>different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  <w:lang w:val="en-US" w:eastAsia="zh-CN"/>
              </w:rPr>
              <w:t xml:space="preserve"> groups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 xml:space="preserve"> of NLR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  <w:shd w:val="clear" w:color="auto" w:fill="FFFFFF"/>
              </w:rPr>
              <w:t xml:space="preserve"> were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 xml:space="preserve"> analysed using ANOVA followed by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  <w:shd w:val="clear" w:color="auto" w:fill="FFFFFF"/>
              </w:rPr>
              <w:t xml:space="preserve"> 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>Bonferroni’s post-hoc test</w:t>
            </w:r>
          </w:p>
        </w:tc>
      </w:tr>
      <w:tr w:rsidR="00450565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370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  <w:t>Result: association of NLR with DCM in T2DM mouse model, paragraph 1</w:t>
            </w:r>
          </w:p>
          <w:p w:rsidR="009264EF" w:rsidRPr="008208B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>we used a mouse model of T2DM, which was verified by detecting the mouse weights, blood-glucose levels, and heart/tibia ratio (Supplemental Figure 1A–C)</w:t>
            </w:r>
          </w:p>
        </w:tc>
      </w:tr>
      <w:tr w:rsidR="009264EF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  <w:t>Result: association of NLR with DCM in T2DM mouse model, paragraph 1</w:t>
            </w:r>
          </w:p>
          <w:p w:rsidR="009264EF" w:rsidRPr="00227F9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Male 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/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 xml:space="preserve"> mice and their non-diabetic littermates (</w:t>
            </w:r>
            <w:proofErr w:type="spellStart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db</w:t>
            </w:r>
            <w:proofErr w:type="spellEnd"/>
            <w:r w:rsidRPr="008208B0">
              <w:rPr>
                <w:rFonts w:ascii="Times New Roman" w:hAnsi="Times New Roman" w:cs="Times New Roman"/>
                <w:color w:val="000000" w:themeColor="text1"/>
                <w:spacing w:val="2"/>
                <w:sz w:val="13"/>
                <w:szCs w:val="13"/>
                <w:shd w:val="clear" w:color="auto" w:fill="FCFCFC"/>
              </w:rPr>
              <w:t>/+ mice) were used as models of T2DM and age-matched controls, respectively. Mice were divided into 8, 12, 16, and 20 weeks of age, n = 5 each group</w:t>
            </w:r>
          </w:p>
        </w:tc>
      </w:tr>
      <w:tr w:rsidR="009264EF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  <w:t xml:space="preserve">Result: association of NLR with DCM in T2DM mouse model, paragraph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  <w:t>2</w:t>
            </w:r>
          </w:p>
          <w:p w:rsidR="009264EF" w:rsidRPr="008208B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 xml:space="preserve">NLR increased at 12-weeks of age, when echocardiography showed normal cardiac function,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  <w:shd w:val="clear" w:color="auto" w:fill="FFFFFF"/>
              </w:rPr>
              <w:t>and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 xml:space="preserve"> sustained </w:t>
            </w:r>
            <w:r w:rsidRPr="008208B0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  <w:shd w:val="clear" w:color="auto" w:fill="FFFFFF"/>
              </w:rPr>
              <w:t>elevated</w:t>
            </w: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 xml:space="preserve"> with DCM progression.</w:t>
            </w:r>
          </w:p>
        </w:tc>
      </w:tr>
      <w:tr w:rsidR="009264EF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8208B0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  <w:r w:rsidR="000B4955">
              <w:rPr>
                <w:rFonts w:ascii="Times New Roman" w:hAnsi="Times New Roman" w:cs="Times New Roman"/>
                <w:sz w:val="13"/>
                <w:szCs w:val="13"/>
              </w:rPr>
              <w:t>/A</w:t>
            </w:r>
            <w:bookmarkStart w:id="0" w:name="_GoBack"/>
            <w:bookmarkEnd w:id="0"/>
          </w:p>
        </w:tc>
      </w:tr>
      <w:tr w:rsidR="00450565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3701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8208B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3"/>
                <w:szCs w:val="13"/>
              </w:rPr>
            </w:pPr>
          </w:p>
        </w:tc>
      </w:tr>
      <w:tr w:rsidR="009264EF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  <w:t>Discussion, paragraph 1</w:t>
            </w:r>
          </w:p>
          <w:p w:rsidR="009264EF" w:rsidRPr="008208B0" w:rsidRDefault="008208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8208B0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>NLR was first detected with the progression of DCM, illustrating that NLR may be identified as a potential diagnostic biomarker at the early stage of DCM.</w:t>
            </w:r>
          </w:p>
        </w:tc>
      </w:tr>
      <w:tr w:rsidR="009264EF" w:rsidRPr="00227F90" w:rsidTr="008208B0">
        <w:trPr>
          <w:gridBefore w:val="1"/>
          <w:wBefore w:w="34" w:type="dxa"/>
        </w:trPr>
        <w:tc>
          <w:tcPr>
            <w:tcW w:w="6204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75593C" w:rsidRPr="0075593C" w:rsidRDefault="0075593C" w:rsidP="0075593C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</w:pPr>
            <w:r w:rsidRPr="0075593C"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</w:rPr>
              <w:t>Result: association of NLR with DCM in T2DM mouse model, paragraph 1</w:t>
            </w:r>
          </w:p>
          <w:p w:rsidR="009264EF" w:rsidRPr="00B742EF" w:rsidRDefault="00B742EF" w:rsidP="00B742EF">
            <w:pPr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13"/>
                <w:szCs w:val="13"/>
                <w:shd w:val="clear" w:color="auto" w:fill="FFFFFF"/>
              </w:rPr>
            </w:pPr>
            <w:r w:rsidRPr="00B742EF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shd w:val="clear" w:color="auto" w:fill="FFFFFF"/>
              </w:rPr>
              <w:t>our results may provide a better understanding of an early-risk factor and its natural evolution in DCM, which would provide effective prevention strategies, as strongly recommended in clinical guidelines.</w:t>
            </w:r>
          </w:p>
        </w:tc>
      </w:tr>
      <w:tr w:rsidR="009264EF" w:rsidRPr="00227F90" w:rsidTr="008208B0">
        <w:trPr>
          <w:gridAfter w:val="1"/>
          <w:wAfter w:w="44" w:type="dxa"/>
        </w:trPr>
        <w:tc>
          <w:tcPr>
            <w:tcW w:w="6238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7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75593C" w:rsidRPr="0075593C" w:rsidRDefault="0075593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75593C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Funding section</w:t>
            </w:r>
          </w:p>
          <w:p w:rsidR="009264EF" w:rsidRPr="00B742EF" w:rsidRDefault="00B7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3"/>
                <w:szCs w:val="13"/>
              </w:rPr>
            </w:pPr>
            <w:r w:rsidRPr="00B742EF">
              <w:rPr>
                <w:rFonts w:ascii="Times New Roman" w:hAnsi="Times New Roman" w:cs="Times New Roman"/>
                <w:sz w:val="13"/>
                <w:szCs w:val="13"/>
              </w:rPr>
              <w:t xml:space="preserve">This work was supported by grants from </w:t>
            </w:r>
            <w:bookmarkStart w:id="1" w:name="OLE_LINK30"/>
            <w:bookmarkStart w:id="2" w:name="OLE_LINK31"/>
            <w:r w:rsidRPr="00B742EF">
              <w:rPr>
                <w:rFonts w:ascii="Times New Roman" w:hAnsi="Times New Roman" w:cs="Times New Roman"/>
                <w:sz w:val="13"/>
                <w:szCs w:val="13"/>
              </w:rPr>
              <w:t>the National Natural Science Foundation of China (</w:t>
            </w:r>
            <w:bookmarkStart w:id="3" w:name="OLE_LINK36"/>
            <w:bookmarkStart w:id="4" w:name="OLE_LINK37"/>
            <w:r w:rsidRPr="00B742EF">
              <w:rPr>
                <w:rFonts w:ascii="Times New Roman" w:hAnsi="Times New Roman" w:cs="Times New Roman"/>
                <w:sz w:val="13"/>
                <w:szCs w:val="13"/>
              </w:rPr>
              <w:t>grant no. 81700343</w:t>
            </w:r>
            <w:bookmarkEnd w:id="1"/>
            <w:bookmarkEnd w:id="2"/>
            <w:bookmarkEnd w:id="3"/>
            <w:bookmarkEnd w:id="4"/>
            <w:r w:rsidRPr="00B742EF">
              <w:rPr>
                <w:rFonts w:ascii="Times New Roman" w:hAnsi="Times New Roman" w:cs="Times New Roman"/>
                <w:sz w:val="13"/>
                <w:szCs w:val="13"/>
              </w:rPr>
              <w:t xml:space="preserve"> to LT), Natural Science Foundation of Jiangsu Province (grant no. BK20170296 to LT), </w:t>
            </w:r>
            <w:bookmarkStart w:id="5" w:name="OLE_LINK1"/>
            <w:bookmarkStart w:id="6" w:name="OLE_LINK2"/>
            <w:r w:rsidRPr="00B742EF">
              <w:rPr>
                <w:rFonts w:ascii="Times New Roman" w:hAnsi="Times New Roman" w:cs="Times New Roman"/>
                <w:sz w:val="13"/>
                <w:szCs w:val="13"/>
              </w:rPr>
              <w:t>China Postdoctoral Science Foundation</w:t>
            </w:r>
            <w:bookmarkEnd w:id="5"/>
            <w:bookmarkEnd w:id="6"/>
            <w:r w:rsidRPr="00B742EF">
              <w:rPr>
                <w:rFonts w:ascii="Times New Roman" w:hAnsi="Times New Roman" w:cs="Times New Roman"/>
                <w:sz w:val="13"/>
                <w:szCs w:val="13"/>
              </w:rPr>
              <w:t xml:space="preserve"> (grant no. 2018M642317 to LT), Post-Doctoral Foundation of Jiangsu Province (grant no. 2018K095B to LT), Six Talent Peaks Project of Jiangsu Province (</w:t>
            </w:r>
            <w:r w:rsidRPr="00B742EF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grant no. WSN-202 </w:t>
            </w:r>
            <w:r w:rsidRPr="00B742EF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to</w:t>
            </w:r>
            <w:r w:rsidRPr="00B742EF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 LT, grant no. WSW-183 to FH</w:t>
            </w:r>
            <w:r w:rsidRPr="00B742EF">
              <w:rPr>
                <w:rFonts w:ascii="Times New Roman" w:hAnsi="Times New Roman" w:cs="Times New Roman"/>
                <w:sz w:val="13"/>
                <w:szCs w:val="13"/>
              </w:rPr>
              <w:t xml:space="preserve">), and </w:t>
            </w:r>
            <w:r w:rsidRPr="00B742EF">
              <w:rPr>
                <w:rFonts w:ascii="Times New Roman" w:hAnsi="Times New Roman" w:cs="Times New Roman"/>
                <w:bCs/>
                <w:sz w:val="13"/>
                <w:szCs w:val="13"/>
              </w:rPr>
              <w:t xml:space="preserve">Changzhou High-Level Medical Talents Training Project </w:t>
            </w:r>
            <w:r w:rsidRPr="00B742EF">
              <w:rPr>
                <w:rFonts w:ascii="Times New Roman" w:hAnsi="Times New Roman" w:cs="Times New Roman" w:hint="eastAsia"/>
                <w:bCs/>
                <w:sz w:val="13"/>
                <w:szCs w:val="13"/>
              </w:rPr>
              <w:t>(</w:t>
            </w:r>
            <w:r w:rsidRPr="00B742EF">
              <w:rPr>
                <w:rFonts w:ascii="Times New Roman" w:hAnsi="Times New Roman" w:cs="Times New Roman"/>
                <w:bCs/>
                <w:sz w:val="13"/>
                <w:szCs w:val="13"/>
              </w:rPr>
              <w:t xml:space="preserve">grant no. </w:t>
            </w:r>
            <w:r w:rsidRPr="00B742EF">
              <w:rPr>
                <w:rFonts w:ascii="Times New Roman" w:hAnsi="Times New Roman" w:cs="Times New Roman"/>
                <w:sz w:val="13"/>
                <w:szCs w:val="13"/>
              </w:rPr>
              <w:t>2016ZCL J020 to FH</w:t>
            </w:r>
            <w:r w:rsidRPr="00B742EF">
              <w:rPr>
                <w:rFonts w:ascii="Times New Roman" w:hAnsi="Times New Roman" w:cs="Times New Roman" w:hint="eastAsia"/>
                <w:bCs/>
                <w:sz w:val="13"/>
                <w:szCs w:val="13"/>
              </w:rPr>
              <w:t>).</w:t>
            </w:r>
            <w:r w:rsidRPr="00B742EF">
              <w:rPr>
                <w:rFonts w:ascii="Times New Roman" w:hAnsi="Times New Roman" w:cs="Times New Roman"/>
                <w:bCs/>
                <w:sz w:val="13"/>
                <w:szCs w:val="13"/>
              </w:rPr>
              <w:t xml:space="preserve"> </w:t>
            </w:r>
            <w:r w:rsidRPr="00B742EF">
              <w:rPr>
                <w:rFonts w:ascii="Times New Roman" w:hAnsi="Times New Roman" w:cs="Times New Roman"/>
                <w:sz w:val="13"/>
                <w:szCs w:val="13"/>
              </w:rPr>
              <w:t xml:space="preserve">LT designed the study, </w:t>
            </w:r>
            <w:proofErr w:type="spellStart"/>
            <w:r w:rsidRPr="00B742EF">
              <w:rPr>
                <w:rFonts w:ascii="Times New Roman" w:hAnsi="Times New Roman" w:cs="Times New Roman"/>
                <w:sz w:val="13"/>
                <w:szCs w:val="13"/>
              </w:rPr>
              <w:t>analyzed</w:t>
            </w:r>
            <w:proofErr w:type="spellEnd"/>
            <w:r w:rsidRPr="00B742EF">
              <w:rPr>
                <w:rFonts w:ascii="Times New Roman" w:hAnsi="Times New Roman" w:cs="Times New Roman"/>
                <w:sz w:val="13"/>
                <w:szCs w:val="13"/>
              </w:rPr>
              <w:t xml:space="preserve"> data and drafted the manuscript. FH participated in the design of the study and coordination of the whole work.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B4955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5593C"/>
    <w:rsid w:val="007757A0"/>
    <w:rsid w:val="008208B0"/>
    <w:rsid w:val="00871275"/>
    <w:rsid w:val="009264EF"/>
    <w:rsid w:val="009844FC"/>
    <w:rsid w:val="009D55FE"/>
    <w:rsid w:val="00AC351C"/>
    <w:rsid w:val="00B40528"/>
    <w:rsid w:val="00B41A55"/>
    <w:rsid w:val="00B742EF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E9F2"/>
  <w15:docId w15:val="{4BF487C1-E61C-6543-A840-8D0CC5A56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1067</Words>
  <Characters>6086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sahu</cp:lastModifiedBy>
  <cp:revision>5</cp:revision>
  <cp:lastPrinted>2014-08-21T11:13:00Z</cp:lastPrinted>
  <dcterms:created xsi:type="dcterms:W3CDTF">2015-07-15T15:00:00Z</dcterms:created>
  <dcterms:modified xsi:type="dcterms:W3CDTF">2020-02-27T02:06:00Z</dcterms:modified>
</cp:coreProperties>
</file>